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D0" w:rsidRPr="008A15D0" w:rsidRDefault="008A15D0" w:rsidP="008A15D0">
      <w:pPr>
        <w:spacing w:before="100" w:beforeAutospacing="1" w:after="100" w:afterAutospacing="1" w:line="240" w:lineRule="auto"/>
        <w:jc w:val="right"/>
        <w:rPr>
          <w:rFonts w:ascii="Arial" w:hAnsi="Arial" w:cs="Arial"/>
          <w:sz w:val="24"/>
        </w:rPr>
      </w:pPr>
      <w:bookmarkStart w:id="0" w:name="_GoBack"/>
      <w:bookmarkEnd w:id="0"/>
      <w:r w:rsidRPr="008A15D0">
        <w:rPr>
          <w:rFonts w:ascii="Arial" w:hAnsi="Arial" w:cs="Arial"/>
          <w:sz w:val="24"/>
        </w:rPr>
        <w:t>Mérida, Yuc</w:t>
      </w:r>
      <w:r>
        <w:rPr>
          <w:rFonts w:ascii="Arial" w:hAnsi="Arial" w:cs="Arial"/>
          <w:sz w:val="24"/>
        </w:rPr>
        <w:t>atán, a 25 de noviembre de 2019</w:t>
      </w:r>
    </w:p>
    <w:p w:rsidR="008A15D0" w:rsidRPr="008A15D0" w:rsidRDefault="008A15D0" w:rsidP="008A15D0">
      <w:pPr>
        <w:spacing w:before="100" w:beforeAutospacing="1" w:after="100" w:afterAutospacing="1" w:line="240" w:lineRule="auto"/>
        <w:jc w:val="both"/>
        <w:rPr>
          <w:rFonts w:ascii="Arial" w:hAnsi="Arial" w:cs="Arial"/>
          <w:b/>
          <w:sz w:val="24"/>
        </w:rPr>
      </w:pPr>
      <w:r w:rsidRPr="008A15D0">
        <w:rPr>
          <w:rFonts w:ascii="Arial" w:hAnsi="Arial" w:cs="Arial"/>
          <w:b/>
          <w:sz w:val="24"/>
        </w:rPr>
        <w:t>H. Congreso del Estado de Yucatán:</w:t>
      </w: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Iniciativa para modificar la Ley de Coordinación Fiscal del Estado de Yucatán</w:t>
      </w: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Exposición de motivos</w:t>
      </w:r>
    </w:p>
    <w:p w:rsid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El Presupuesto de Egresos de la Federación, en el ramo 28, prevé los recursos federales que se transfieren a las entidades federativas y a los municipios, correspondientes a las participaciones de ingresos federales e incentivos económicos.</w:t>
      </w:r>
    </w:p>
    <w:p w:rsid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El estado forma parte del Sistema Nacional de Coordinación Fiscal, por lo que cumple con lo dispuesto en el artículo 6 de la Ley de Coordinación Fiscal federal, la cual indica que de las participaciones federales que recibirán los municipios del total del Fondo General de Participaciones, las legislaturas locales estable</w:t>
      </w:r>
      <w:r>
        <w:rPr>
          <w:rFonts w:ascii="Arial" w:hAnsi="Arial" w:cs="Arial"/>
          <w:sz w:val="24"/>
        </w:rPr>
        <w:t>cerán la distribución entre tales</w:t>
      </w:r>
      <w:r w:rsidRPr="008A15D0">
        <w:rPr>
          <w:rFonts w:ascii="Arial" w:hAnsi="Arial" w:cs="Arial"/>
          <w:sz w:val="24"/>
        </w:rPr>
        <w:t xml:space="preserve"> municipios, mediante disposiciones de carácter general; atendiendo principalmente a los incentivos recaudatorios y principios resarcitorios.</w:t>
      </w:r>
    </w:p>
    <w:p w:rsidR="008A15D0" w:rsidRP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 xml:space="preserve">En el ámbito estatal, la Ley de Coordinación Fiscal del Estado de Yucatán es la norma que regula </w:t>
      </w:r>
      <w:r>
        <w:rPr>
          <w:rFonts w:ascii="Arial" w:hAnsi="Arial" w:cs="Arial"/>
          <w:sz w:val="24"/>
        </w:rPr>
        <w:t>e</w:t>
      </w:r>
      <w:r w:rsidRPr="008A15D0">
        <w:rPr>
          <w:rFonts w:ascii="Arial" w:hAnsi="Arial" w:cs="Arial"/>
          <w:sz w:val="24"/>
        </w:rPr>
        <w:t xml:space="preserve">l </w:t>
      </w:r>
      <w:r>
        <w:rPr>
          <w:rFonts w:ascii="Arial" w:hAnsi="Arial" w:cs="Arial"/>
          <w:sz w:val="24"/>
        </w:rPr>
        <w:t>S</w:t>
      </w:r>
      <w:r w:rsidRPr="008A15D0">
        <w:rPr>
          <w:rFonts w:ascii="Arial" w:hAnsi="Arial" w:cs="Arial"/>
          <w:sz w:val="24"/>
        </w:rPr>
        <w:t xml:space="preserve">istema de </w:t>
      </w:r>
      <w:r>
        <w:rPr>
          <w:rFonts w:ascii="Arial" w:hAnsi="Arial" w:cs="Arial"/>
          <w:sz w:val="24"/>
        </w:rPr>
        <w:t>C</w:t>
      </w:r>
      <w:r w:rsidRPr="008A15D0">
        <w:rPr>
          <w:rFonts w:ascii="Arial" w:hAnsi="Arial" w:cs="Arial"/>
          <w:sz w:val="24"/>
        </w:rPr>
        <w:t>oordinación Fiscal estatal, fijando los montos, bases y plazos para la distribución de las participaciones federales que correspondan a los municipios.</w:t>
      </w:r>
    </w:p>
    <w:p w:rsid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La Ley Federal del Impuesto sobre Automóviles Nuevos, en su artículo 14, regula el Fondo de Compensación del Impuesto sobre Automóviles Nuevos, el cual busca resarcir a las entidades federativas la disminución de ingresos derivada de la exención d</w:t>
      </w:r>
      <w:r w:rsidR="007654D4">
        <w:rPr>
          <w:rFonts w:ascii="Arial" w:hAnsi="Arial" w:cs="Arial"/>
          <w:sz w:val="24"/>
        </w:rPr>
        <w:t>el impuesto objeto de dicha ley</w:t>
      </w:r>
      <w:r w:rsidRPr="008A15D0">
        <w:rPr>
          <w:rFonts w:ascii="Arial" w:hAnsi="Arial" w:cs="Arial"/>
          <w:sz w:val="24"/>
        </w:rPr>
        <w:t xml:space="preserve"> que se otorgó mediante el Decreto por el que se establecen las condiciones para la importación definitiva de vehículos automotores usados, publicado en el Diario Oficial de la Federación el 22 de agosto de 2005.</w:t>
      </w:r>
    </w:p>
    <w:p w:rsidR="006A5CE4" w:rsidRDefault="006A5CE4" w:rsidP="008A15D0">
      <w:pPr>
        <w:spacing w:before="100" w:beforeAutospacing="1" w:after="100" w:afterAutospacing="1" w:line="240" w:lineRule="auto"/>
        <w:jc w:val="both"/>
        <w:rPr>
          <w:rFonts w:ascii="Arial" w:hAnsi="Arial" w:cs="Arial"/>
          <w:sz w:val="24"/>
        </w:rPr>
      </w:pPr>
      <w:r w:rsidRPr="006A5CE4">
        <w:rPr>
          <w:rFonts w:ascii="Arial" w:hAnsi="Arial" w:cs="Arial"/>
          <w:sz w:val="24"/>
        </w:rPr>
        <w:t xml:space="preserve">En la actualidad, </w:t>
      </w:r>
      <w:r>
        <w:rPr>
          <w:rFonts w:ascii="Arial" w:hAnsi="Arial" w:cs="Arial"/>
          <w:sz w:val="24"/>
        </w:rPr>
        <w:t xml:space="preserve">el artículo 5 </w:t>
      </w:r>
      <w:r w:rsidRPr="006A5CE4">
        <w:rPr>
          <w:rFonts w:ascii="Arial" w:hAnsi="Arial" w:cs="Arial"/>
          <w:sz w:val="24"/>
        </w:rPr>
        <w:t>de la Ley de Coordinación Fiscal del Esta</w:t>
      </w:r>
      <w:r>
        <w:rPr>
          <w:rFonts w:ascii="Arial" w:hAnsi="Arial" w:cs="Arial"/>
          <w:sz w:val="24"/>
        </w:rPr>
        <w:t>do de Yucatán vigente no señala</w:t>
      </w:r>
      <w:r w:rsidRPr="006A5CE4">
        <w:rPr>
          <w:rFonts w:ascii="Arial" w:hAnsi="Arial" w:cs="Arial"/>
          <w:sz w:val="24"/>
        </w:rPr>
        <w:t xml:space="preserve"> de manera explícita que los recursos procedentes del Fondo de Compensación del Impuesto sobre Automóviles Nuevos </w:t>
      </w:r>
      <w:r>
        <w:rPr>
          <w:rFonts w:ascii="Arial" w:hAnsi="Arial" w:cs="Arial"/>
          <w:sz w:val="24"/>
        </w:rPr>
        <w:t>formarán</w:t>
      </w:r>
      <w:r w:rsidRPr="006A5CE4">
        <w:rPr>
          <w:rFonts w:ascii="Arial" w:hAnsi="Arial" w:cs="Arial"/>
          <w:sz w:val="24"/>
        </w:rPr>
        <w:t xml:space="preserve"> parte de los recursos totales a</w:t>
      </w:r>
      <w:r>
        <w:rPr>
          <w:rFonts w:ascii="Arial" w:hAnsi="Arial" w:cs="Arial"/>
          <w:sz w:val="24"/>
        </w:rPr>
        <w:t xml:space="preserve"> repartir a los municipios del e</w:t>
      </w:r>
      <w:r w:rsidRPr="006A5CE4">
        <w:rPr>
          <w:rFonts w:ascii="Arial" w:hAnsi="Arial" w:cs="Arial"/>
          <w:sz w:val="24"/>
        </w:rPr>
        <w:t>stado.</w:t>
      </w:r>
    </w:p>
    <w:p w:rsidR="006A5CE4" w:rsidRPr="008A15D0" w:rsidRDefault="006A5CE4" w:rsidP="008A15D0">
      <w:pPr>
        <w:spacing w:before="100" w:beforeAutospacing="1" w:after="100" w:afterAutospacing="1" w:line="240" w:lineRule="auto"/>
        <w:jc w:val="both"/>
        <w:rPr>
          <w:rFonts w:ascii="Arial" w:hAnsi="Arial" w:cs="Arial"/>
          <w:sz w:val="24"/>
        </w:rPr>
      </w:pPr>
      <w:r w:rsidRPr="006A5CE4">
        <w:rPr>
          <w:rFonts w:ascii="Arial" w:hAnsi="Arial" w:cs="Arial"/>
          <w:sz w:val="24"/>
        </w:rPr>
        <w:t xml:space="preserve">En consecuencia, la presente iniciativa pretende modificar la Ley de Coordinación Fiscal del Estado de Yucatán, para </w:t>
      </w:r>
      <w:r>
        <w:rPr>
          <w:rFonts w:ascii="Arial" w:hAnsi="Arial" w:cs="Arial"/>
          <w:sz w:val="24"/>
        </w:rPr>
        <w:t>mencionar explícitamente</w:t>
      </w:r>
      <w:r w:rsidRPr="006A5CE4">
        <w:rPr>
          <w:rFonts w:ascii="Arial" w:hAnsi="Arial" w:cs="Arial"/>
          <w:sz w:val="24"/>
        </w:rPr>
        <w:t xml:space="preserve"> que</w:t>
      </w:r>
      <w:r>
        <w:rPr>
          <w:rFonts w:ascii="Arial" w:hAnsi="Arial" w:cs="Arial"/>
          <w:sz w:val="24"/>
        </w:rPr>
        <w:t>,</w:t>
      </w:r>
      <w:r w:rsidRPr="006A5CE4">
        <w:rPr>
          <w:rFonts w:ascii="Arial" w:hAnsi="Arial" w:cs="Arial"/>
          <w:sz w:val="24"/>
        </w:rPr>
        <w:t xml:space="preserve"> dentro de las participaciones </w:t>
      </w:r>
      <w:r>
        <w:rPr>
          <w:rFonts w:ascii="Arial" w:hAnsi="Arial" w:cs="Arial"/>
          <w:sz w:val="24"/>
        </w:rPr>
        <w:t xml:space="preserve">que corresponden a los municipios </w:t>
      </w:r>
      <w:r w:rsidRPr="006A5CE4">
        <w:rPr>
          <w:rFonts w:ascii="Arial" w:hAnsi="Arial" w:cs="Arial"/>
          <w:sz w:val="24"/>
        </w:rPr>
        <w:t xml:space="preserve">de los ingresos </w:t>
      </w:r>
      <w:r>
        <w:rPr>
          <w:rFonts w:ascii="Arial" w:hAnsi="Arial" w:cs="Arial"/>
          <w:sz w:val="24"/>
        </w:rPr>
        <w:t xml:space="preserve">estatales, les </w:t>
      </w:r>
      <w:r>
        <w:rPr>
          <w:rFonts w:ascii="Arial" w:hAnsi="Arial" w:cs="Arial"/>
          <w:sz w:val="24"/>
        </w:rPr>
        <w:lastRenderedPageBreak/>
        <w:t xml:space="preserve">corresponderá </w:t>
      </w:r>
      <w:r w:rsidRPr="006A5CE4">
        <w:rPr>
          <w:rFonts w:ascii="Arial" w:hAnsi="Arial" w:cs="Arial"/>
          <w:sz w:val="24"/>
        </w:rPr>
        <w:t xml:space="preserve">un 20% de los recursos que perciba el </w:t>
      </w:r>
      <w:r>
        <w:rPr>
          <w:rFonts w:ascii="Arial" w:hAnsi="Arial" w:cs="Arial"/>
          <w:sz w:val="24"/>
        </w:rPr>
        <w:t xml:space="preserve">estado </w:t>
      </w:r>
      <w:r w:rsidRPr="006A5CE4">
        <w:rPr>
          <w:rFonts w:ascii="Arial" w:hAnsi="Arial" w:cs="Arial"/>
          <w:sz w:val="24"/>
        </w:rPr>
        <w:t>del Fondo de Compensación del Impuesto sobre Automóviles Nuevos.</w:t>
      </w:r>
    </w:p>
    <w:p w:rsidR="008A15D0" w:rsidRP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Con  lo anterior, se fomenta la certidumbre, transparencia, la rendición de cuentas y eficiencia en el manejo de los recursos públicos en los tres órdenes de gobierno.</w:t>
      </w:r>
    </w:p>
    <w:p w:rsidR="008A15D0" w:rsidRP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En virtud de lo anterior, y en ejercicio de la facultad que me confiere el artículo 35, fracción II, de la Constitución Política del Estado de Yucatán, someto a su consideración la siguiente:</w:t>
      </w: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Iniciativa para modificar la Ley de Coordinación Fiscal del Estado de Yucatán</w:t>
      </w:r>
    </w:p>
    <w:p w:rsidR="008A15D0" w:rsidRP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b/>
          <w:sz w:val="24"/>
        </w:rPr>
        <w:t>Artículo único. Se adiciona:</w:t>
      </w:r>
      <w:r w:rsidRPr="008A15D0">
        <w:rPr>
          <w:rFonts w:ascii="Arial" w:hAnsi="Arial" w:cs="Arial"/>
          <w:sz w:val="24"/>
        </w:rPr>
        <w:t xml:space="preserve"> el numeral 11 al artículo 5 de la Ley de Coordinación Fiscal de</w:t>
      </w:r>
      <w:r>
        <w:rPr>
          <w:rFonts w:ascii="Arial" w:hAnsi="Arial" w:cs="Arial"/>
          <w:sz w:val="24"/>
        </w:rPr>
        <w:t xml:space="preserve">l Estado de </w:t>
      </w:r>
      <w:r w:rsidRPr="008A15D0">
        <w:rPr>
          <w:rFonts w:ascii="Arial" w:hAnsi="Arial" w:cs="Arial"/>
          <w:sz w:val="24"/>
        </w:rPr>
        <w:t>Yucatán, para quedar como sigue:</w:t>
      </w:r>
    </w:p>
    <w:p w:rsid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b/>
          <w:sz w:val="24"/>
        </w:rPr>
        <w:t>Artículo 5.-</w:t>
      </w:r>
      <w:r w:rsidRPr="008A15D0">
        <w:rPr>
          <w:rFonts w:ascii="Arial" w:hAnsi="Arial" w:cs="Arial"/>
          <w:sz w:val="24"/>
        </w:rPr>
        <w:t xml:space="preserve"> …</w:t>
      </w:r>
    </w:p>
    <w:p w:rsidR="008A15D0" w:rsidRPr="008A15D0" w:rsidRDefault="008A15D0" w:rsidP="008A15D0">
      <w:pPr>
        <w:spacing w:before="100" w:beforeAutospacing="1" w:after="100" w:afterAutospacing="1" w:line="240" w:lineRule="auto"/>
        <w:ind w:firstLine="708"/>
        <w:jc w:val="both"/>
        <w:rPr>
          <w:rFonts w:ascii="Arial" w:hAnsi="Arial" w:cs="Arial"/>
          <w:sz w:val="24"/>
        </w:rPr>
      </w:pPr>
      <w:r w:rsidRPr="008A15D0">
        <w:rPr>
          <w:rFonts w:ascii="Arial" w:hAnsi="Arial" w:cs="Arial"/>
          <w:sz w:val="24"/>
        </w:rPr>
        <w:t>1 al 10. …</w:t>
      </w:r>
    </w:p>
    <w:p w:rsidR="008A15D0" w:rsidRPr="008A15D0" w:rsidRDefault="008A15D0" w:rsidP="008A15D0">
      <w:pPr>
        <w:spacing w:before="100" w:beforeAutospacing="1" w:after="100" w:afterAutospacing="1" w:line="240" w:lineRule="auto"/>
        <w:ind w:firstLine="708"/>
        <w:jc w:val="both"/>
        <w:rPr>
          <w:rFonts w:ascii="Arial" w:hAnsi="Arial" w:cs="Arial"/>
          <w:sz w:val="24"/>
        </w:rPr>
      </w:pPr>
      <w:r w:rsidRPr="008A15D0">
        <w:rPr>
          <w:rFonts w:ascii="Arial" w:hAnsi="Arial" w:cs="Arial"/>
          <w:sz w:val="24"/>
        </w:rPr>
        <w:t>11. 20% de la recaudación del Fondo de Compensación del Impuesto sobre Automóviles Nuevos.</w:t>
      </w: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Artículo transitorio</w:t>
      </w:r>
    </w:p>
    <w:p w:rsidR="008A15D0" w:rsidRPr="008A15D0" w:rsidRDefault="008A15D0" w:rsidP="008A15D0">
      <w:pPr>
        <w:spacing w:before="100" w:beforeAutospacing="1" w:after="100" w:afterAutospacing="1" w:line="240" w:lineRule="auto"/>
        <w:jc w:val="both"/>
        <w:rPr>
          <w:rFonts w:ascii="Arial" w:hAnsi="Arial" w:cs="Arial"/>
          <w:b/>
          <w:sz w:val="24"/>
        </w:rPr>
      </w:pPr>
      <w:r w:rsidRPr="008A15D0">
        <w:rPr>
          <w:rFonts w:ascii="Arial" w:hAnsi="Arial" w:cs="Arial"/>
          <w:b/>
          <w:sz w:val="24"/>
        </w:rPr>
        <w:t>Único. Entrada en vigor</w:t>
      </w:r>
    </w:p>
    <w:p w:rsidR="008A15D0" w:rsidRPr="008A15D0" w:rsidRDefault="008A15D0" w:rsidP="008A15D0">
      <w:pPr>
        <w:spacing w:before="100" w:beforeAutospacing="1" w:after="100" w:afterAutospacing="1" w:line="240" w:lineRule="auto"/>
        <w:jc w:val="both"/>
        <w:rPr>
          <w:rFonts w:ascii="Arial" w:hAnsi="Arial" w:cs="Arial"/>
          <w:sz w:val="24"/>
        </w:rPr>
      </w:pPr>
      <w:r w:rsidRPr="008A15D0">
        <w:rPr>
          <w:rFonts w:ascii="Arial" w:hAnsi="Arial" w:cs="Arial"/>
          <w:sz w:val="24"/>
        </w:rPr>
        <w:t>Este decreto entrará en vigor el día 1 de enero de 2020, previa publicación en el Diario Oficial del Gobierno del Estado de Yucatán.</w:t>
      </w: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Atentamente</w:t>
      </w:r>
    </w:p>
    <w:p w:rsidR="008A15D0" w:rsidRPr="008A15D0" w:rsidRDefault="008A15D0" w:rsidP="008A15D0">
      <w:pPr>
        <w:spacing w:before="100" w:beforeAutospacing="1" w:after="100" w:afterAutospacing="1" w:line="240" w:lineRule="auto"/>
        <w:jc w:val="both"/>
        <w:rPr>
          <w:rFonts w:ascii="Arial" w:hAnsi="Arial" w:cs="Arial"/>
          <w:sz w:val="24"/>
        </w:rPr>
      </w:pPr>
    </w:p>
    <w:p w:rsidR="008A15D0" w:rsidRPr="008A15D0" w:rsidRDefault="008A15D0" w:rsidP="008A15D0">
      <w:pPr>
        <w:spacing w:before="100" w:beforeAutospacing="1" w:after="100" w:afterAutospacing="1" w:line="240" w:lineRule="auto"/>
        <w:jc w:val="center"/>
        <w:rPr>
          <w:rFonts w:ascii="Arial" w:hAnsi="Arial" w:cs="Arial"/>
          <w:b/>
          <w:sz w:val="24"/>
        </w:rPr>
      </w:pPr>
      <w:r w:rsidRPr="008A15D0">
        <w:rPr>
          <w:rFonts w:ascii="Arial" w:hAnsi="Arial" w:cs="Arial"/>
          <w:b/>
          <w:sz w:val="24"/>
        </w:rPr>
        <w:t>Lic. Mauricio Vila Dosal</w:t>
      </w:r>
      <w:r w:rsidRPr="008A15D0">
        <w:rPr>
          <w:rFonts w:ascii="Arial" w:hAnsi="Arial" w:cs="Arial"/>
          <w:b/>
          <w:sz w:val="24"/>
        </w:rPr>
        <w:br/>
        <w:t>Gobernador del Estado de Yucatán</w:t>
      </w:r>
    </w:p>
    <w:p w:rsidR="008A15D0" w:rsidRPr="008A15D0" w:rsidRDefault="008A15D0" w:rsidP="008A15D0">
      <w:pPr>
        <w:spacing w:before="100" w:beforeAutospacing="1" w:after="100" w:afterAutospacing="1" w:line="240" w:lineRule="auto"/>
        <w:jc w:val="both"/>
        <w:rPr>
          <w:rFonts w:ascii="Arial" w:hAnsi="Arial" w:cs="Arial"/>
          <w:sz w:val="24"/>
        </w:rPr>
      </w:pPr>
    </w:p>
    <w:p w:rsidR="008A15D0" w:rsidRPr="008A15D0" w:rsidRDefault="008A15D0" w:rsidP="008A15D0">
      <w:pPr>
        <w:spacing w:before="100" w:beforeAutospacing="1" w:after="100" w:afterAutospacing="1" w:line="240" w:lineRule="auto"/>
        <w:rPr>
          <w:rFonts w:ascii="Arial" w:hAnsi="Arial" w:cs="Arial"/>
          <w:b/>
          <w:sz w:val="24"/>
        </w:rPr>
      </w:pPr>
      <w:r w:rsidRPr="008A15D0">
        <w:rPr>
          <w:rFonts w:ascii="Arial" w:hAnsi="Arial" w:cs="Arial"/>
          <w:b/>
          <w:sz w:val="24"/>
        </w:rPr>
        <w:t>Abog. María Dolores Fritz Sierra</w:t>
      </w:r>
      <w:r w:rsidRPr="008A15D0">
        <w:rPr>
          <w:rFonts w:ascii="Arial" w:hAnsi="Arial" w:cs="Arial"/>
          <w:b/>
          <w:sz w:val="24"/>
        </w:rPr>
        <w:br/>
        <w:t>Secretaria general de Gobierno</w:t>
      </w:r>
    </w:p>
    <w:sectPr w:rsidR="008A15D0" w:rsidRPr="008A15D0" w:rsidSect="008A15D0">
      <w:footerReference w:type="default" r:id="rId6"/>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46" w:rsidRDefault="00B26046" w:rsidP="008A15D0">
      <w:pPr>
        <w:spacing w:after="0" w:line="240" w:lineRule="auto"/>
      </w:pPr>
      <w:r>
        <w:separator/>
      </w:r>
    </w:p>
  </w:endnote>
  <w:endnote w:type="continuationSeparator" w:id="0">
    <w:p w:rsidR="00B26046" w:rsidRDefault="00B26046" w:rsidP="008A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521190"/>
      <w:docPartObj>
        <w:docPartGallery w:val="Page Numbers (Bottom of Page)"/>
        <w:docPartUnique/>
      </w:docPartObj>
    </w:sdtPr>
    <w:sdtEndPr>
      <w:rPr>
        <w:rFonts w:ascii="Arial" w:hAnsi="Arial" w:cs="Arial"/>
        <w:sz w:val="20"/>
      </w:rPr>
    </w:sdtEndPr>
    <w:sdtContent>
      <w:p w:rsidR="008A15D0" w:rsidRPr="008A15D0" w:rsidRDefault="008A15D0">
        <w:pPr>
          <w:pStyle w:val="Piedepgina"/>
          <w:jc w:val="right"/>
          <w:rPr>
            <w:rFonts w:ascii="Arial" w:hAnsi="Arial" w:cs="Arial"/>
            <w:sz w:val="20"/>
          </w:rPr>
        </w:pPr>
        <w:r w:rsidRPr="008A15D0">
          <w:rPr>
            <w:rFonts w:ascii="Arial" w:hAnsi="Arial" w:cs="Arial"/>
            <w:sz w:val="20"/>
          </w:rPr>
          <w:fldChar w:fldCharType="begin"/>
        </w:r>
        <w:r w:rsidRPr="008A15D0">
          <w:rPr>
            <w:rFonts w:ascii="Arial" w:hAnsi="Arial" w:cs="Arial"/>
            <w:sz w:val="20"/>
          </w:rPr>
          <w:instrText xml:space="preserve"> PAGE   \* MERGEFORMAT </w:instrText>
        </w:r>
        <w:r w:rsidRPr="008A15D0">
          <w:rPr>
            <w:rFonts w:ascii="Arial" w:hAnsi="Arial" w:cs="Arial"/>
            <w:sz w:val="20"/>
          </w:rPr>
          <w:fldChar w:fldCharType="separate"/>
        </w:r>
        <w:r w:rsidR="002513D8">
          <w:rPr>
            <w:rFonts w:ascii="Arial" w:hAnsi="Arial" w:cs="Arial"/>
            <w:noProof/>
            <w:sz w:val="20"/>
          </w:rPr>
          <w:t>1</w:t>
        </w:r>
        <w:r w:rsidRPr="008A15D0">
          <w:rPr>
            <w:rFonts w:ascii="Arial" w:hAnsi="Arial" w:cs="Arial"/>
            <w:sz w:val="20"/>
          </w:rPr>
          <w:fldChar w:fldCharType="end"/>
        </w:r>
      </w:p>
    </w:sdtContent>
  </w:sdt>
  <w:p w:rsidR="008A15D0" w:rsidRPr="008A15D0" w:rsidRDefault="008A15D0">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46" w:rsidRDefault="00B26046" w:rsidP="008A15D0">
      <w:pPr>
        <w:spacing w:after="0" w:line="240" w:lineRule="auto"/>
      </w:pPr>
      <w:r>
        <w:separator/>
      </w:r>
    </w:p>
  </w:footnote>
  <w:footnote w:type="continuationSeparator" w:id="0">
    <w:p w:rsidR="00B26046" w:rsidRDefault="00B26046" w:rsidP="008A1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D0"/>
    <w:rsid w:val="002513D8"/>
    <w:rsid w:val="006A5CE4"/>
    <w:rsid w:val="007654D4"/>
    <w:rsid w:val="008A15D0"/>
    <w:rsid w:val="00B26046"/>
    <w:rsid w:val="00BA2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204E3-EF81-4F80-AA7B-35F5B23B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A1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A15D0"/>
  </w:style>
  <w:style w:type="paragraph" w:styleId="Piedepgina">
    <w:name w:val="footer"/>
    <w:basedOn w:val="Normal"/>
    <w:link w:val="PiedepginaCar"/>
    <w:uiPriority w:val="99"/>
    <w:unhideWhenUsed/>
    <w:rsid w:val="008A1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michel.echeverria</dc:creator>
  <cp:lastModifiedBy>Mildred Manzanilla</cp:lastModifiedBy>
  <cp:revision>2</cp:revision>
  <dcterms:created xsi:type="dcterms:W3CDTF">2019-12-15T17:55:00Z</dcterms:created>
  <dcterms:modified xsi:type="dcterms:W3CDTF">2019-12-15T17:55:00Z</dcterms:modified>
</cp:coreProperties>
</file>